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</w:pPr>
      <w:r>
        <w:rPr>
          <w:rFonts w:ascii="Arial" w:eastAsiaTheme="majorEastAsia" w:hAnsi="Arial" w:cs="Arial"/>
          <w:b/>
          <w:bCs/>
          <w:noProof/>
          <w:color w:val="000000" w:themeColor="text1"/>
          <w:kern w:val="24"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4D9E7B49" wp14:editId="53EC6E58">
            <wp:simplePos x="0" y="0"/>
            <wp:positionH relativeFrom="column">
              <wp:posOffset>428625</wp:posOffset>
            </wp:positionH>
            <wp:positionV relativeFrom="paragraph">
              <wp:posOffset>367857</wp:posOffset>
            </wp:positionV>
            <wp:extent cx="715992" cy="695535"/>
            <wp:effectExtent l="0" t="0" r="8255" b="0"/>
            <wp:wrapNone/>
            <wp:docPr id="1" name="Imagen 1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6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  <w:t xml:space="preserve">                            </w:t>
      </w:r>
    </w:p>
    <w:p w:rsid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40"/>
          <w:szCs w:val="40"/>
        </w:rPr>
      </w:pPr>
      <w:r>
        <w:rPr>
          <w:noProof/>
          <w:lang w:eastAsia="es-MX"/>
        </w:rPr>
        <w:t xml:space="preserve">                           </w:t>
      </w:r>
      <w:r>
        <w:rPr>
          <w:noProof/>
          <w:lang w:eastAsia="es-MX"/>
        </w:rPr>
        <w:t xml:space="preserve">                                                                                                                                     </w:t>
      </w:r>
      <w:r>
        <w:rPr>
          <w:noProof/>
          <w:lang w:eastAsia="es-MX"/>
        </w:rPr>
        <w:t xml:space="preserve">     </w:t>
      </w:r>
      <w:r w:rsidRPr="00632C3C">
        <w:rPr>
          <w:noProof/>
          <w:sz w:val="24"/>
          <w:szCs w:val="24"/>
          <w:lang w:eastAsia="es-MX"/>
        </w:rPr>
        <w:drawing>
          <wp:inline distT="0" distB="0" distL="0" distR="0" wp14:anchorId="5CA8369C" wp14:editId="3C43E2C7">
            <wp:extent cx="816543" cy="791800"/>
            <wp:effectExtent l="0" t="0" r="3175" b="889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3" cy="791121"/>
                    </a:xfrm>
                    <a:prstGeom prst="rect">
                      <a:avLst/>
                    </a:prstGeom>
                    <a:solidFill>
                      <a:srgbClr val="8064A2">
                        <a:lumMod val="60000"/>
                        <a:lumOff val="4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                                                                                                </w:t>
      </w:r>
    </w:p>
    <w:p w:rsidR="00632C3C" w:rsidRP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632C3C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 xml:space="preserve"> REGLAMENTO INTERNO</w:t>
      </w:r>
    </w:p>
    <w:p w:rsid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 xml:space="preserve"> DE  </w:t>
      </w:r>
    </w:p>
    <w:p w:rsidR="00632C3C" w:rsidRP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632C3C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>BIBLIOTECA</w:t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>S</w:t>
      </w:r>
    </w:p>
    <w:p w:rsidR="00632C3C" w:rsidRPr="00632C3C" w:rsidRDefault="00632C3C" w:rsidP="00632C3C">
      <w:pPr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El Sistema Bibliotecario de la Universidad de Occidente brinda por medio de sus servicios, el acceso oportuno a los recursos documentales organizados y disponibles en apoyo a los programas educativos, la investigación, la difusión y extensión de la cultura, de acuerdo a las disposiciones que marca el presente reglamento.</w:t>
      </w:r>
    </w:p>
    <w:p w:rsidR="00632C3C" w:rsidRPr="00632C3C" w:rsidRDefault="00632C3C" w:rsidP="00632C3C">
      <w:pPr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Usuarios</w:t>
      </w:r>
    </w:p>
    <w:p w:rsidR="00632C3C" w:rsidRPr="00632C3C" w:rsidRDefault="00632C3C" w:rsidP="00632C3C">
      <w:pPr>
        <w:pStyle w:val="Prrafodelista"/>
        <w:numPr>
          <w:ilvl w:val="0"/>
          <w:numId w:val="4"/>
        </w:numPr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rFonts w:eastAsiaTheme="majorEastAsia" w:cs="Arial"/>
          <w:b/>
          <w:bCs/>
          <w:color w:val="000000" w:themeColor="text1"/>
          <w:kern w:val="24"/>
          <w:sz w:val="24"/>
          <w:szCs w:val="24"/>
        </w:rPr>
        <w:t>Usuarios Internos</w:t>
      </w:r>
      <w:r w:rsidRPr="00632C3C">
        <w:rPr>
          <w:rFonts w:eastAsiaTheme="majorEastAsia" w:cs="Arial"/>
          <w:bCs/>
          <w:color w:val="000000" w:themeColor="text1"/>
          <w:kern w:val="24"/>
          <w:sz w:val="24"/>
          <w:szCs w:val="24"/>
        </w:rPr>
        <w:t xml:space="preserve"> son todas las personas que conforman la comunidad universitaria</w:t>
      </w:r>
      <w:r w:rsidRPr="00632C3C">
        <w:rPr>
          <w:i/>
          <w:sz w:val="24"/>
          <w:szCs w:val="24"/>
        </w:rPr>
        <w:t xml:space="preserve"> (alumnos, docentes, investigadores, funcionarios y personal administrativo</w:t>
      </w:r>
      <w:r w:rsidRPr="00632C3C">
        <w:rPr>
          <w:sz w:val="24"/>
          <w:szCs w:val="24"/>
        </w:rPr>
        <w:t>) que podrán hacer uso de todos los servicios de la biblioteca.</w:t>
      </w:r>
    </w:p>
    <w:p w:rsidR="00632C3C" w:rsidRPr="00632C3C" w:rsidRDefault="00632C3C" w:rsidP="00632C3C">
      <w:pPr>
        <w:pStyle w:val="Prrafodelista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b/>
          <w:sz w:val="24"/>
          <w:szCs w:val="24"/>
        </w:rPr>
        <w:t>Usuarios Externos</w:t>
      </w:r>
      <w:r w:rsidRPr="00632C3C">
        <w:rPr>
          <w:sz w:val="24"/>
          <w:szCs w:val="24"/>
        </w:rPr>
        <w:t xml:space="preserve"> son las personas provenientes de otras instituciones o comunidad en general que utilizan los  diferentes servicios que ofrece la biblioteca, quedando excluido el servicio de préstamo externo.</w:t>
      </w:r>
    </w:p>
    <w:p w:rsidR="00632C3C" w:rsidRPr="00632C3C" w:rsidRDefault="00632C3C" w:rsidP="00632C3C">
      <w:pPr>
        <w:pStyle w:val="Prrafodelista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rFonts w:eastAsiaTheme="majorEastAsia" w:cs="Arial"/>
          <w:b/>
          <w:bCs/>
          <w:color w:val="000000" w:themeColor="text1"/>
          <w:kern w:val="24"/>
          <w:sz w:val="24"/>
          <w:szCs w:val="24"/>
        </w:rPr>
        <w:t>Todo usuario</w:t>
      </w:r>
      <w:r w:rsidRPr="00632C3C">
        <w:rPr>
          <w:rFonts w:eastAsiaTheme="majorEastAsia" w:cs="Arial"/>
          <w:bCs/>
          <w:color w:val="000000" w:themeColor="text1"/>
          <w:kern w:val="24"/>
          <w:sz w:val="24"/>
          <w:szCs w:val="24"/>
        </w:rPr>
        <w:t xml:space="preserve"> deberá registrarse en la Bitácora Electrónica las veces que ingrese a la biblioteca. </w:t>
      </w:r>
    </w:p>
    <w:p w:rsidR="00632C3C" w:rsidRPr="00632C3C" w:rsidRDefault="00632C3C" w:rsidP="00632C3C">
      <w:pPr>
        <w:pStyle w:val="Prrafodelista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632C3C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Disposiciones Generales</w:t>
      </w:r>
    </w:p>
    <w:p w:rsidR="00632C3C" w:rsidRPr="00632C3C" w:rsidRDefault="00632C3C" w:rsidP="00632C3C">
      <w:pPr>
        <w:pStyle w:val="Prrafodelista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 xml:space="preserve"> Los artículos</w:t>
      </w:r>
      <w:r w:rsidRPr="00632C3C">
        <w:rPr>
          <w:sz w:val="24"/>
          <w:szCs w:val="24"/>
        </w:rPr>
        <w:t xml:space="preserve"> personales deberán ser colocados en el sitio habilitado para tal fin (</w:t>
      </w:r>
      <w:r w:rsidRPr="00632C3C">
        <w:rPr>
          <w:i/>
          <w:sz w:val="24"/>
          <w:szCs w:val="24"/>
        </w:rPr>
        <w:t>La biblioteca no se  hace responsable de su guarda</w:t>
      </w:r>
      <w:r w:rsidRPr="00632C3C">
        <w:rPr>
          <w:sz w:val="24"/>
          <w:szCs w:val="24"/>
        </w:rPr>
        <w:t>).</w:t>
      </w:r>
    </w:p>
    <w:p w:rsidR="00632C3C" w:rsidRPr="00632C3C" w:rsidRDefault="00632C3C" w:rsidP="00632C3C">
      <w:pPr>
        <w:pStyle w:val="Prrafodelista"/>
        <w:jc w:val="both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632C3C">
        <w:rPr>
          <w:b/>
          <w:sz w:val="24"/>
          <w:szCs w:val="24"/>
        </w:rPr>
        <w:t>Para información y/o apoyo</w:t>
      </w:r>
      <w:r w:rsidRPr="00632C3C">
        <w:rPr>
          <w:sz w:val="24"/>
          <w:szCs w:val="24"/>
        </w:rPr>
        <w:t xml:space="preserve"> sobre el uso de la biblioteca y manejo de la consulta de Biblioteca Virtual (</w:t>
      </w:r>
      <w:r w:rsidRPr="00632C3C">
        <w:rPr>
          <w:i/>
          <w:sz w:val="24"/>
          <w:szCs w:val="24"/>
        </w:rPr>
        <w:t>acceso a Bases de Datos Electrónicas</w:t>
      </w:r>
      <w:r w:rsidRPr="00632C3C">
        <w:rPr>
          <w:sz w:val="24"/>
          <w:szCs w:val="24"/>
        </w:rPr>
        <w:t>) favor de solicitarlo al personal bibliotecario en turno.</w:t>
      </w:r>
    </w:p>
    <w:p w:rsidR="00632C3C" w:rsidRPr="00632C3C" w:rsidRDefault="00632C3C" w:rsidP="00632C3C">
      <w:pPr>
        <w:pStyle w:val="Prrafodelista"/>
        <w:jc w:val="both"/>
        <w:rPr>
          <w:b/>
          <w:sz w:val="24"/>
          <w:szCs w:val="24"/>
          <w:shd w:val="clear" w:color="auto" w:fill="92D050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 xml:space="preserve">Conservar </w:t>
      </w:r>
      <w:r w:rsidRPr="00632C3C">
        <w:rPr>
          <w:sz w:val="24"/>
          <w:szCs w:val="24"/>
          <w:shd w:val="clear" w:color="auto" w:fill="FFFFFF" w:themeFill="background1"/>
        </w:rPr>
        <w:t xml:space="preserve">un ambiente propicio para la lectura y el estudio, abstenerse de fumar, e ingresar con alimentos y bebidas a las salas; </w:t>
      </w:r>
      <w:r w:rsidRPr="00632C3C">
        <w:rPr>
          <w:sz w:val="24"/>
          <w:szCs w:val="24"/>
        </w:rPr>
        <w:t>mantener su celular</w:t>
      </w:r>
      <w:r w:rsidRPr="00632C3C">
        <w:rPr>
          <w:sz w:val="24"/>
          <w:szCs w:val="24"/>
          <w:shd w:val="clear" w:color="auto" w:fill="FFFFFF" w:themeFill="background1"/>
        </w:rPr>
        <w:t xml:space="preserve"> apagado y/o activado en vibrador</w:t>
      </w:r>
      <w:r w:rsidRPr="00632C3C">
        <w:rPr>
          <w:sz w:val="24"/>
          <w:szCs w:val="24"/>
        </w:rPr>
        <w:t xml:space="preserve">. </w:t>
      </w:r>
    </w:p>
    <w:p w:rsidR="00632C3C" w:rsidRPr="00632C3C" w:rsidRDefault="00632C3C" w:rsidP="00632C3C">
      <w:pPr>
        <w:pStyle w:val="Prrafodelista"/>
        <w:jc w:val="both"/>
        <w:rPr>
          <w:b/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 xml:space="preserve"> Para preservar los recursos</w:t>
      </w:r>
      <w:r w:rsidRPr="00632C3C">
        <w:rPr>
          <w:sz w:val="24"/>
          <w:szCs w:val="24"/>
        </w:rPr>
        <w:t xml:space="preserve"> </w:t>
      </w:r>
      <w:r w:rsidRPr="00632C3C">
        <w:rPr>
          <w:b/>
          <w:sz w:val="24"/>
          <w:szCs w:val="24"/>
        </w:rPr>
        <w:t>documentale</w:t>
      </w:r>
      <w:r w:rsidRPr="00632C3C">
        <w:rPr>
          <w:sz w:val="24"/>
          <w:szCs w:val="24"/>
        </w:rPr>
        <w:t>s (</w:t>
      </w:r>
      <w:r w:rsidRPr="00632C3C">
        <w:rPr>
          <w:i/>
          <w:sz w:val="24"/>
          <w:szCs w:val="24"/>
        </w:rPr>
        <w:t xml:space="preserve">libros, revistas, </w:t>
      </w:r>
      <w:proofErr w:type="spellStart"/>
      <w:r w:rsidRPr="00632C3C">
        <w:rPr>
          <w:i/>
          <w:sz w:val="24"/>
          <w:szCs w:val="24"/>
        </w:rPr>
        <w:t>Cds</w:t>
      </w:r>
      <w:proofErr w:type="spellEnd"/>
      <w:r w:rsidRPr="00632C3C">
        <w:rPr>
          <w:i/>
          <w:sz w:val="24"/>
          <w:szCs w:val="24"/>
        </w:rPr>
        <w:t>, DVD, mapas</w:t>
      </w:r>
      <w:r w:rsidRPr="00632C3C">
        <w:rPr>
          <w:sz w:val="24"/>
          <w:szCs w:val="24"/>
        </w:rPr>
        <w:t xml:space="preserve">) evitar: marcar, rayar, subrayar, mojar o desprender páginas. </w:t>
      </w:r>
    </w:p>
    <w:p w:rsidR="00632C3C" w:rsidRPr="00632C3C" w:rsidRDefault="00632C3C" w:rsidP="00632C3C">
      <w:pPr>
        <w:pStyle w:val="Prrafodelista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 xml:space="preserve">Guardar debido respeto </w:t>
      </w:r>
      <w:r w:rsidRPr="00632C3C">
        <w:rPr>
          <w:sz w:val="24"/>
          <w:szCs w:val="24"/>
        </w:rPr>
        <w:t>al personal bibliotecario y a los usuarios.</w:t>
      </w:r>
    </w:p>
    <w:p w:rsidR="00632C3C" w:rsidRPr="00632C3C" w:rsidRDefault="00632C3C" w:rsidP="00632C3C">
      <w:pPr>
        <w:pStyle w:val="Prrafodelista"/>
        <w:shd w:val="clear" w:color="auto" w:fill="FFFFFF" w:themeFill="background1"/>
        <w:jc w:val="both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632C3C">
        <w:rPr>
          <w:b/>
          <w:sz w:val="24"/>
          <w:szCs w:val="24"/>
        </w:rPr>
        <w:t xml:space="preserve"> Al hacer uso de los recursos documentales</w:t>
      </w:r>
      <w:r w:rsidRPr="00632C3C">
        <w:rPr>
          <w:sz w:val="24"/>
          <w:szCs w:val="24"/>
        </w:rPr>
        <w:t xml:space="preserve"> una vez concluida su consulta, colocarlos en el carro o sitio indicado para ello (</w:t>
      </w:r>
      <w:r w:rsidRPr="00632C3C">
        <w:rPr>
          <w:i/>
          <w:sz w:val="24"/>
          <w:szCs w:val="24"/>
        </w:rPr>
        <w:t>no tratar de acomodarlos en los estantes).</w:t>
      </w:r>
    </w:p>
    <w:p w:rsidR="00632C3C" w:rsidRPr="00632C3C" w:rsidRDefault="00632C3C" w:rsidP="00632C3C">
      <w:pPr>
        <w:pStyle w:val="Prrafodelista"/>
        <w:jc w:val="both"/>
        <w:rPr>
          <w:i/>
          <w:sz w:val="24"/>
          <w:szCs w:val="24"/>
        </w:rPr>
      </w:pPr>
    </w:p>
    <w:p w:rsidR="00632C3C" w:rsidRPr="00632C3C" w:rsidRDefault="00632C3C" w:rsidP="00632C3C">
      <w:pPr>
        <w:pStyle w:val="Prrafodelista"/>
        <w:ind w:left="360"/>
        <w:jc w:val="center"/>
        <w:rPr>
          <w:b/>
          <w:sz w:val="24"/>
          <w:szCs w:val="24"/>
        </w:rPr>
      </w:pPr>
      <w:r w:rsidRPr="00632C3C">
        <w:rPr>
          <w:b/>
          <w:sz w:val="24"/>
          <w:szCs w:val="24"/>
        </w:rPr>
        <w:t>Disposiciones para el Préstamo Externo:</w:t>
      </w:r>
    </w:p>
    <w:p w:rsidR="00632C3C" w:rsidRPr="00632C3C" w:rsidRDefault="00632C3C" w:rsidP="00632C3C">
      <w:pPr>
        <w:pStyle w:val="Prrafodelista"/>
        <w:ind w:left="360"/>
        <w:jc w:val="both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ind w:left="1440"/>
        <w:jc w:val="both"/>
        <w:rPr>
          <w:sz w:val="24"/>
          <w:szCs w:val="24"/>
        </w:rPr>
      </w:pPr>
      <w:r w:rsidRPr="00632C3C">
        <w:rPr>
          <w:sz w:val="24"/>
          <w:szCs w:val="24"/>
        </w:rPr>
        <w:t xml:space="preserve">Este se proporcionara a </w:t>
      </w:r>
      <w:r w:rsidRPr="00632C3C">
        <w:rPr>
          <w:b/>
          <w:sz w:val="24"/>
          <w:szCs w:val="24"/>
        </w:rPr>
        <w:t>usuarios internos</w:t>
      </w:r>
      <w:r w:rsidRPr="00632C3C">
        <w:rPr>
          <w:i/>
          <w:sz w:val="24"/>
          <w:szCs w:val="24"/>
        </w:rPr>
        <w:t xml:space="preserve"> </w:t>
      </w:r>
      <w:r w:rsidRPr="00632C3C">
        <w:rPr>
          <w:sz w:val="24"/>
          <w:szCs w:val="24"/>
        </w:rPr>
        <w:t>de acuerdo a su estatus:</w:t>
      </w:r>
    </w:p>
    <w:p w:rsidR="00632C3C" w:rsidRPr="00632C3C" w:rsidRDefault="00632C3C" w:rsidP="00632C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Alumnos:</w:t>
      </w:r>
      <w:r w:rsidRPr="00632C3C">
        <w:rPr>
          <w:sz w:val="24"/>
          <w:szCs w:val="24"/>
        </w:rPr>
        <w:t xml:space="preserve"> Credencial vigente o comprobante de inscripción o reinscripción.</w:t>
      </w:r>
    </w:p>
    <w:p w:rsidR="00632C3C" w:rsidRPr="00632C3C" w:rsidRDefault="00632C3C" w:rsidP="00632C3C">
      <w:pPr>
        <w:pStyle w:val="Prrafodelista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32C3C">
        <w:rPr>
          <w:b/>
          <w:sz w:val="24"/>
          <w:szCs w:val="24"/>
        </w:rPr>
        <w:t>Alumnos Especiales</w:t>
      </w:r>
      <w:r w:rsidRPr="00632C3C">
        <w:rPr>
          <w:sz w:val="24"/>
          <w:szCs w:val="24"/>
        </w:rPr>
        <w:t xml:space="preserve">: </w:t>
      </w:r>
      <w:r w:rsidRPr="00632C3C">
        <w:rPr>
          <w:i/>
          <w:sz w:val="24"/>
          <w:szCs w:val="24"/>
        </w:rPr>
        <w:t>d</w:t>
      </w:r>
      <w:r w:rsidRPr="00632C3C">
        <w:rPr>
          <w:sz w:val="24"/>
          <w:szCs w:val="24"/>
        </w:rPr>
        <w:t>ocumento oficial sobre su estatus (s</w:t>
      </w:r>
      <w:r w:rsidRPr="00632C3C">
        <w:rPr>
          <w:i/>
          <w:sz w:val="24"/>
          <w:szCs w:val="24"/>
        </w:rPr>
        <w:t>eminario titulación, tesis, tesina, exámenes especiales, EGEL y verano científico)</w:t>
      </w:r>
    </w:p>
    <w:p w:rsidR="00632C3C" w:rsidRPr="00632C3C" w:rsidRDefault="00632C3C" w:rsidP="00632C3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Docentes y Administrativos</w:t>
      </w:r>
      <w:r w:rsidRPr="00632C3C">
        <w:rPr>
          <w:sz w:val="24"/>
          <w:szCs w:val="24"/>
        </w:rPr>
        <w:t>: Credencial vigente y/o comprobante de nómina.</w:t>
      </w:r>
    </w:p>
    <w:p w:rsidR="00632C3C" w:rsidRPr="00632C3C" w:rsidRDefault="00632C3C" w:rsidP="00632C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Período del préstamo</w:t>
      </w:r>
      <w:r w:rsidRPr="00632C3C">
        <w:rPr>
          <w:sz w:val="24"/>
          <w:szCs w:val="24"/>
        </w:rPr>
        <w:t>: 72 horas (3 días hábiles) con opción a una renovación por 24 horas (1 día hábil).</w:t>
      </w:r>
    </w:p>
    <w:p w:rsidR="00632C3C" w:rsidRPr="00632C3C" w:rsidRDefault="00632C3C" w:rsidP="00632C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Bibliografía general</w:t>
      </w:r>
      <w:r w:rsidRPr="00632C3C">
        <w:rPr>
          <w:sz w:val="24"/>
          <w:szCs w:val="24"/>
        </w:rPr>
        <w:t xml:space="preserve"> en función de la disponibilidad se podrá facilitar hasta dos títulos diferentes; a excepción del ejemplar 1 (</w:t>
      </w:r>
      <w:r w:rsidRPr="00632C3C">
        <w:rPr>
          <w:i/>
          <w:sz w:val="24"/>
          <w:szCs w:val="24"/>
        </w:rPr>
        <w:t>identificado con etiqueta verde no es susceptible a préstamo</w:t>
      </w:r>
      <w:r w:rsidRPr="00632C3C">
        <w:rPr>
          <w:sz w:val="24"/>
          <w:szCs w:val="24"/>
        </w:rPr>
        <w:t>).</w:t>
      </w:r>
    </w:p>
    <w:p w:rsidR="00632C3C" w:rsidRPr="00632C3C" w:rsidRDefault="00632C3C" w:rsidP="00632C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Las Obras Lúdicas</w:t>
      </w:r>
      <w:r w:rsidRPr="00632C3C">
        <w:rPr>
          <w:i/>
          <w:sz w:val="24"/>
          <w:szCs w:val="24"/>
        </w:rPr>
        <w:t xml:space="preserve"> </w:t>
      </w:r>
      <w:r w:rsidRPr="00632C3C">
        <w:rPr>
          <w:sz w:val="24"/>
          <w:szCs w:val="24"/>
        </w:rPr>
        <w:t>(</w:t>
      </w:r>
      <w:r w:rsidRPr="00632C3C">
        <w:rPr>
          <w:i/>
          <w:sz w:val="24"/>
          <w:szCs w:val="24"/>
        </w:rPr>
        <w:t>poesía, cuento, novela, etc</w:t>
      </w:r>
      <w:r w:rsidRPr="00632C3C">
        <w:rPr>
          <w:sz w:val="24"/>
          <w:szCs w:val="24"/>
        </w:rPr>
        <w:t>.) hasta por una semana, con una renovación de igual tiempo.</w:t>
      </w:r>
    </w:p>
    <w:p w:rsidR="00632C3C" w:rsidRPr="00632C3C" w:rsidRDefault="00632C3C" w:rsidP="00632C3C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Recibo del préstamo</w:t>
      </w:r>
      <w:r w:rsidRPr="00632C3C">
        <w:rPr>
          <w:sz w:val="24"/>
          <w:szCs w:val="24"/>
        </w:rPr>
        <w:t xml:space="preserve">  indicar la fecha de devolución de los materiales en este servicio</w:t>
      </w:r>
    </w:p>
    <w:p w:rsidR="00632C3C" w:rsidRPr="00632C3C" w:rsidRDefault="00632C3C" w:rsidP="00632C3C">
      <w:pPr>
        <w:pStyle w:val="Prrafodelista"/>
        <w:ind w:left="2880"/>
        <w:jc w:val="both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ind w:left="2880"/>
        <w:rPr>
          <w:b/>
          <w:sz w:val="24"/>
          <w:szCs w:val="24"/>
        </w:rPr>
      </w:pPr>
      <w:r w:rsidRPr="00632C3C">
        <w:rPr>
          <w:b/>
          <w:sz w:val="24"/>
          <w:szCs w:val="24"/>
        </w:rPr>
        <w:t xml:space="preserve">                        Obligaciones</w:t>
      </w:r>
    </w:p>
    <w:p w:rsidR="00632C3C" w:rsidRPr="00632C3C" w:rsidRDefault="00632C3C" w:rsidP="00632C3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32C3C">
        <w:rPr>
          <w:b/>
          <w:sz w:val="24"/>
          <w:szCs w:val="24"/>
        </w:rPr>
        <w:t>Cualquier problema o anomalía</w:t>
      </w:r>
      <w:r w:rsidRPr="00632C3C">
        <w:rPr>
          <w:sz w:val="24"/>
          <w:szCs w:val="24"/>
        </w:rPr>
        <w:t xml:space="preserve"> en las Salas deberá ser comunicado al personal de la biblioteca. </w:t>
      </w:r>
    </w:p>
    <w:p w:rsidR="00632C3C" w:rsidRPr="00632C3C" w:rsidRDefault="00632C3C" w:rsidP="00632C3C">
      <w:pPr>
        <w:pStyle w:val="Prrafodelista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32C3C">
        <w:rPr>
          <w:b/>
          <w:sz w:val="24"/>
          <w:szCs w:val="24"/>
        </w:rPr>
        <w:t>El mobiliario deberá permanecer</w:t>
      </w:r>
      <w:r w:rsidRPr="00632C3C">
        <w:rPr>
          <w:sz w:val="24"/>
          <w:szCs w:val="24"/>
        </w:rPr>
        <w:t xml:space="preserve"> en el sitio asignado, cualquier cambio deberá ser autorizado por la Jefatura de la biblioteca y/o personal bibliotecario.</w:t>
      </w:r>
    </w:p>
    <w:p w:rsidR="00632C3C" w:rsidRPr="00632C3C" w:rsidRDefault="00632C3C" w:rsidP="00632C3C">
      <w:pPr>
        <w:pStyle w:val="Prrafodelista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rPr>
          <w:i/>
          <w:sz w:val="24"/>
          <w:szCs w:val="24"/>
        </w:rPr>
      </w:pPr>
      <w:r w:rsidRPr="00632C3C">
        <w:rPr>
          <w:b/>
          <w:sz w:val="24"/>
          <w:szCs w:val="24"/>
        </w:rPr>
        <w:t>El mobiliario y equipo</w:t>
      </w:r>
      <w:r w:rsidRPr="00632C3C">
        <w:rPr>
          <w:sz w:val="24"/>
          <w:szCs w:val="24"/>
        </w:rPr>
        <w:t xml:space="preserve"> son para uso exclusivo de consulta interna (</w:t>
      </w:r>
      <w:r w:rsidRPr="00632C3C">
        <w:rPr>
          <w:i/>
          <w:sz w:val="24"/>
          <w:szCs w:val="24"/>
        </w:rPr>
        <w:t xml:space="preserve">Si va a realizar otra actividad, favor de solicitar autorización al bibliotecario). </w:t>
      </w:r>
    </w:p>
    <w:p w:rsidR="00632C3C" w:rsidRPr="00632C3C" w:rsidRDefault="00632C3C" w:rsidP="00632C3C">
      <w:pPr>
        <w:pStyle w:val="Prrafodelista"/>
        <w:rPr>
          <w:i/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32C3C">
        <w:rPr>
          <w:b/>
          <w:sz w:val="24"/>
          <w:szCs w:val="24"/>
        </w:rPr>
        <w:t>Al concluir su estancia</w:t>
      </w:r>
      <w:r w:rsidRPr="00632C3C">
        <w:rPr>
          <w:sz w:val="24"/>
          <w:szCs w:val="24"/>
        </w:rPr>
        <w:t xml:space="preserve"> en la biblioteca, abandonar las salas en orden y en silencio. </w:t>
      </w:r>
    </w:p>
    <w:p w:rsidR="00632C3C" w:rsidRPr="00632C3C" w:rsidRDefault="00632C3C" w:rsidP="00632C3C">
      <w:pPr>
        <w:pStyle w:val="Prrafodelista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La Biblioteca</w:t>
      </w:r>
      <w:r w:rsidRPr="00632C3C">
        <w:rPr>
          <w:sz w:val="24"/>
          <w:szCs w:val="24"/>
          <w:shd w:val="clear" w:color="auto" w:fill="F2F2F2" w:themeFill="background1" w:themeFillShade="F2"/>
        </w:rPr>
        <w:t xml:space="preserve"> </w:t>
      </w:r>
      <w:r w:rsidRPr="00632C3C">
        <w:rPr>
          <w:sz w:val="24"/>
          <w:szCs w:val="24"/>
        </w:rPr>
        <w:t>será desalojada 15 minutos antes de su cierre.</w:t>
      </w:r>
    </w:p>
    <w:p w:rsidR="00632C3C" w:rsidRPr="00632C3C" w:rsidRDefault="00632C3C" w:rsidP="00632C3C">
      <w:pPr>
        <w:pStyle w:val="Prrafodelista"/>
        <w:jc w:val="both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2C3C">
        <w:rPr>
          <w:b/>
          <w:sz w:val="24"/>
          <w:szCs w:val="24"/>
        </w:rPr>
        <w:t>El incumplimiento del presente Reglamento</w:t>
      </w:r>
      <w:r w:rsidRPr="00632C3C">
        <w:rPr>
          <w:sz w:val="24"/>
          <w:szCs w:val="24"/>
        </w:rPr>
        <w:t xml:space="preserve"> se sancionara bajo lo que estipulan los artículos de los Lineamientos Generales de los Servicios Bibliotecarios y Políticas de los Procedimientos de Servicios de Préstamo Interno y Externo (</w:t>
      </w:r>
      <w:r w:rsidRPr="00632C3C">
        <w:rPr>
          <w:i/>
          <w:sz w:val="24"/>
          <w:szCs w:val="24"/>
        </w:rPr>
        <w:t>certificados con la norma ISO 9001.2008 ante el Sistema de Gestión de la Calidad de la Universidad</w:t>
      </w:r>
      <w:r w:rsidRPr="00632C3C">
        <w:rPr>
          <w:sz w:val="24"/>
          <w:szCs w:val="24"/>
        </w:rPr>
        <w:t>)</w:t>
      </w:r>
    </w:p>
    <w:p w:rsidR="00632C3C" w:rsidRPr="00632C3C" w:rsidRDefault="00632C3C" w:rsidP="00632C3C">
      <w:pPr>
        <w:pStyle w:val="Prrafodelista"/>
        <w:ind w:left="9216" w:firstLine="696"/>
        <w:rPr>
          <w:sz w:val="24"/>
          <w:szCs w:val="24"/>
        </w:rPr>
      </w:pPr>
    </w:p>
    <w:p w:rsidR="00632C3C" w:rsidRPr="00632C3C" w:rsidRDefault="00632C3C" w:rsidP="00632C3C">
      <w:pPr>
        <w:pStyle w:val="Prrafodelista"/>
        <w:jc w:val="center"/>
        <w:rPr>
          <w:b/>
          <w:sz w:val="24"/>
          <w:szCs w:val="24"/>
        </w:rPr>
      </w:pPr>
      <w:r w:rsidRPr="00632C3C">
        <w:rPr>
          <w:b/>
          <w:sz w:val="24"/>
          <w:szCs w:val="24"/>
        </w:rPr>
        <w:t xml:space="preserve">                                                    DR. RUBÉN FÉLIX GASTÉLUM               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632C3C">
        <w:rPr>
          <w:b/>
          <w:sz w:val="24"/>
          <w:szCs w:val="24"/>
        </w:rPr>
        <w:t xml:space="preserve"> 2014</w:t>
      </w:r>
    </w:p>
    <w:p w:rsidR="00DA3703" w:rsidRDefault="00632C3C" w:rsidP="00632C3C">
      <w:pPr>
        <w:pStyle w:val="Prrafodelista"/>
        <w:jc w:val="center"/>
      </w:pPr>
      <w:r w:rsidRPr="00632C3C">
        <w:rPr>
          <w:b/>
          <w:sz w:val="24"/>
          <w:szCs w:val="24"/>
        </w:rPr>
        <w:t>VICERRECTOR ACADÉMICO</w:t>
      </w:r>
      <w:r>
        <w:rPr>
          <w:b/>
          <w:sz w:val="28"/>
          <w:szCs w:val="28"/>
        </w:rPr>
        <w:t xml:space="preserve">      </w:t>
      </w:r>
    </w:p>
    <w:sectPr w:rsidR="00DA3703" w:rsidSect="00632C3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262"/>
    <w:multiLevelType w:val="hybridMultilevel"/>
    <w:tmpl w:val="18A262F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6B41EC"/>
    <w:multiLevelType w:val="hybridMultilevel"/>
    <w:tmpl w:val="8DE64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479C"/>
    <w:multiLevelType w:val="hybridMultilevel"/>
    <w:tmpl w:val="DC18493C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BC166A3"/>
    <w:multiLevelType w:val="hybridMultilevel"/>
    <w:tmpl w:val="0210A2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C"/>
    <w:rsid w:val="00632C3C"/>
    <w:rsid w:val="00C65084"/>
    <w:rsid w:val="00D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C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C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2</cp:revision>
  <dcterms:created xsi:type="dcterms:W3CDTF">2015-10-14T19:57:00Z</dcterms:created>
  <dcterms:modified xsi:type="dcterms:W3CDTF">2015-10-14T19:57:00Z</dcterms:modified>
</cp:coreProperties>
</file>